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4152" w14:textId="77777777" w:rsidR="00C714F5" w:rsidRPr="00BA76ED" w:rsidRDefault="0031297E" w:rsidP="00C714F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BA76ED">
        <w:rPr>
          <w:rFonts w:ascii="Arial" w:hAnsi="Arial" w:cs="Arial"/>
          <w:b/>
          <w:bCs/>
          <w:sz w:val="28"/>
          <w:szCs w:val="28"/>
          <w:lang w:val="fr-FR"/>
        </w:rPr>
        <w:t>Appel à projets</w:t>
      </w:r>
    </w:p>
    <w:p w14:paraId="2AD6EE40" w14:textId="77777777" w:rsidR="00C714F5" w:rsidRPr="00BA76ED" w:rsidRDefault="00C714F5" w:rsidP="00C714F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35225567" w14:textId="7EA43134" w:rsidR="00FC158E" w:rsidRPr="00BA76ED" w:rsidRDefault="0031297E" w:rsidP="00C714F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BA76ED">
        <w:rPr>
          <w:rFonts w:ascii="Arial" w:hAnsi="Arial" w:cs="Arial"/>
          <w:b/>
          <w:bCs/>
          <w:sz w:val="28"/>
          <w:szCs w:val="28"/>
          <w:lang w:val="fr-FR"/>
        </w:rPr>
        <w:t>Création d</w:t>
      </w:r>
      <w:r w:rsidR="00FC158E" w:rsidRPr="00BA76ED">
        <w:rPr>
          <w:rFonts w:ascii="Arial" w:hAnsi="Arial" w:cs="Arial"/>
          <w:b/>
          <w:bCs/>
          <w:sz w:val="28"/>
          <w:szCs w:val="28"/>
          <w:lang w:val="fr-FR"/>
        </w:rPr>
        <w:t>’</w:t>
      </w:r>
      <w:r w:rsidRPr="00BA76ED">
        <w:rPr>
          <w:rFonts w:ascii="Arial" w:hAnsi="Arial" w:cs="Arial"/>
          <w:b/>
          <w:bCs/>
          <w:sz w:val="28"/>
          <w:szCs w:val="28"/>
          <w:lang w:val="fr-FR"/>
        </w:rPr>
        <w:t>un espace calme et inclusif</w:t>
      </w:r>
    </w:p>
    <w:p w14:paraId="2C9B25DC" w14:textId="3F3EF23A" w:rsidR="00C632EB" w:rsidRPr="00BA76ED" w:rsidRDefault="0031297E" w:rsidP="00C714F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proofErr w:type="gramStart"/>
      <w:r w:rsidRPr="00BA76ED">
        <w:rPr>
          <w:rFonts w:ascii="Arial" w:hAnsi="Arial" w:cs="Arial"/>
          <w:b/>
          <w:bCs/>
          <w:sz w:val="28"/>
          <w:szCs w:val="28"/>
          <w:lang w:val="fr-FR"/>
        </w:rPr>
        <w:t>dans</w:t>
      </w:r>
      <w:proofErr w:type="gramEnd"/>
      <w:r w:rsidRPr="00BA76ED">
        <w:rPr>
          <w:rFonts w:ascii="Arial" w:hAnsi="Arial" w:cs="Arial"/>
          <w:b/>
          <w:bCs/>
          <w:sz w:val="28"/>
          <w:szCs w:val="28"/>
          <w:lang w:val="fr-FR"/>
        </w:rPr>
        <w:t xml:space="preserve"> chaque composante et structure de l</w:t>
      </w:r>
      <w:r w:rsidR="00FC158E" w:rsidRPr="00BA76ED">
        <w:rPr>
          <w:rFonts w:ascii="Arial" w:hAnsi="Arial" w:cs="Arial"/>
          <w:b/>
          <w:bCs/>
          <w:sz w:val="28"/>
          <w:szCs w:val="28"/>
          <w:lang w:val="fr-FR"/>
        </w:rPr>
        <w:t>’</w:t>
      </w:r>
      <w:r w:rsidRPr="00BA76ED">
        <w:rPr>
          <w:rFonts w:ascii="Arial" w:hAnsi="Arial" w:cs="Arial"/>
          <w:b/>
          <w:bCs/>
          <w:sz w:val="28"/>
          <w:szCs w:val="28"/>
          <w:lang w:val="fr-FR"/>
        </w:rPr>
        <w:t>UCA</w:t>
      </w:r>
    </w:p>
    <w:p w14:paraId="077181D2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57082503" w14:textId="72F5B627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Date limite de réponse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 xml:space="preserve">: </w:t>
      </w:r>
      <w:r w:rsidR="00BA76ED">
        <w:rPr>
          <w:rFonts w:ascii="Arial" w:hAnsi="Arial" w:cs="Arial"/>
          <w:lang w:val="fr-FR"/>
        </w:rPr>
        <w:t>2</w:t>
      </w:r>
      <w:r w:rsidRPr="00BA76ED">
        <w:rPr>
          <w:rFonts w:ascii="Arial" w:hAnsi="Arial" w:cs="Arial"/>
          <w:lang w:val="fr-FR"/>
        </w:rPr>
        <w:t xml:space="preserve">3 </w:t>
      </w:r>
      <w:r w:rsidR="00DF1EC0" w:rsidRPr="00BA76ED">
        <w:rPr>
          <w:rFonts w:ascii="Arial" w:hAnsi="Arial" w:cs="Arial"/>
          <w:lang w:val="fr-FR"/>
        </w:rPr>
        <w:t>mai</w:t>
      </w:r>
      <w:r w:rsidRPr="00BA76ED">
        <w:rPr>
          <w:rFonts w:ascii="Arial" w:hAnsi="Arial" w:cs="Arial"/>
          <w:lang w:val="fr-FR"/>
        </w:rPr>
        <w:t xml:space="preserve"> 2025</w:t>
      </w:r>
    </w:p>
    <w:p w14:paraId="78B45144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6E80D7DA" w14:textId="6A6325F6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Objectif</w:t>
      </w:r>
    </w:p>
    <w:p w14:paraId="5A386FAD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sz w:val="12"/>
          <w:szCs w:val="12"/>
          <w:lang w:val="fr-FR"/>
        </w:rPr>
      </w:pPr>
    </w:p>
    <w:p w14:paraId="5FE5B862" w14:textId="4367C6A2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Permettre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identification,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aménagement léger et la valorisation d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 xml:space="preserve">un espace calme et inclusif, au sein de chaque entité, dédié à la pause, </w:t>
      </w:r>
      <w:r w:rsidR="00C714F5" w:rsidRPr="00BA76ED">
        <w:rPr>
          <w:rFonts w:ascii="Arial" w:hAnsi="Arial" w:cs="Arial"/>
          <w:lang w:val="fr-FR"/>
        </w:rPr>
        <w:t xml:space="preserve">à </w:t>
      </w:r>
      <w:r w:rsidRPr="00BA76ED">
        <w:rPr>
          <w:rFonts w:ascii="Arial" w:hAnsi="Arial" w:cs="Arial"/>
          <w:lang w:val="fr-FR"/>
        </w:rPr>
        <w:t>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 xml:space="preserve">accueil et </w:t>
      </w:r>
      <w:r w:rsidR="00C714F5" w:rsidRPr="00BA76ED">
        <w:rPr>
          <w:rFonts w:ascii="Arial" w:hAnsi="Arial" w:cs="Arial"/>
          <w:lang w:val="fr-FR"/>
        </w:rPr>
        <w:t xml:space="preserve">à </w:t>
      </w:r>
      <w:r w:rsidRPr="00BA76ED">
        <w:rPr>
          <w:rFonts w:ascii="Arial" w:hAnsi="Arial" w:cs="Arial"/>
          <w:lang w:val="fr-FR"/>
        </w:rPr>
        <w:t>la sensibilisation. Ces lieux sont essentiels pour répondre aux besoins de toutes et tous, notamment des personnes en situation de handicap.</w:t>
      </w:r>
    </w:p>
    <w:p w14:paraId="7A73015B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0ADF80EA" w14:textId="77777777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b/>
          <w:bCs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Ce que nous attendons</w:t>
      </w:r>
    </w:p>
    <w:p w14:paraId="0A92CA3C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sz w:val="12"/>
          <w:szCs w:val="12"/>
          <w:lang w:val="fr-FR"/>
        </w:rPr>
      </w:pPr>
    </w:p>
    <w:p w14:paraId="3B614768" w14:textId="42211797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Chaque composante ou structure est invitée à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:</w:t>
      </w:r>
    </w:p>
    <w:p w14:paraId="064B7B1D" w14:textId="18BEBC70" w:rsidR="00531C23" w:rsidRPr="00BA76ED" w:rsidRDefault="0031297E" w:rsidP="00531C2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Identifier un espace existant</w:t>
      </w:r>
      <w:r w:rsidRPr="00BA76ED">
        <w:rPr>
          <w:rFonts w:ascii="Arial" w:hAnsi="Arial" w:cs="Arial"/>
          <w:lang w:val="fr-FR"/>
        </w:rPr>
        <w:t xml:space="preserve"> (salle, bureau, local, etc.), susceptible de devenir un espace calme et inclusif accessible aux usagers.</w:t>
      </w:r>
    </w:p>
    <w:p w14:paraId="1DFD35AD" w14:textId="40B5AF53" w:rsidR="00C632EB" w:rsidRPr="00BA76ED" w:rsidRDefault="0031297E" w:rsidP="00531C23">
      <w:pPr>
        <w:pStyle w:val="Paragraphedeliste"/>
        <w:spacing w:after="0" w:line="240" w:lineRule="auto"/>
        <w:ind w:left="644"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NB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 xml:space="preserve">: </w:t>
      </w:r>
      <w:r w:rsidR="00531C23" w:rsidRPr="00BA76ED">
        <w:rPr>
          <w:rFonts w:ascii="Arial" w:hAnsi="Arial" w:cs="Arial"/>
          <w:lang w:val="fr-FR"/>
        </w:rPr>
        <w:t>A</w:t>
      </w:r>
      <w:r w:rsidRPr="00BA76ED">
        <w:rPr>
          <w:rFonts w:ascii="Arial" w:hAnsi="Arial" w:cs="Arial"/>
          <w:lang w:val="fr-FR"/>
        </w:rPr>
        <w:t>ucun financement ne pourra être accordé pour des travaux lourds ou de réhabilitation</w:t>
      </w:r>
      <w:r w:rsidR="00531C23" w:rsidRPr="00BA76ED">
        <w:rPr>
          <w:rFonts w:ascii="Arial" w:hAnsi="Arial" w:cs="Arial"/>
          <w:lang w:val="fr-FR"/>
        </w:rPr>
        <w:t>. Le lieu doit donc être utilisable en l</w:t>
      </w:r>
      <w:r w:rsidR="00FC158E" w:rsidRPr="00BA76ED">
        <w:rPr>
          <w:rFonts w:ascii="Arial" w:hAnsi="Arial" w:cs="Arial"/>
          <w:lang w:val="fr-FR"/>
        </w:rPr>
        <w:t>’</w:t>
      </w:r>
      <w:r w:rsidR="00531C23" w:rsidRPr="00BA76ED">
        <w:rPr>
          <w:rFonts w:ascii="Arial" w:hAnsi="Arial" w:cs="Arial"/>
          <w:lang w:val="fr-FR"/>
        </w:rPr>
        <w:t>état, ou avec des aménagements simples, ou avec des travaux qui seront financés autrement.</w:t>
      </w:r>
    </w:p>
    <w:p w14:paraId="236099C8" w14:textId="49CF719C" w:rsidR="00531C23" w:rsidRPr="00BA76ED" w:rsidRDefault="0031297E" w:rsidP="00531C2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Établir une liste d</w:t>
      </w:r>
      <w:r w:rsidR="00FC158E" w:rsidRPr="00BA76ED">
        <w:rPr>
          <w:rFonts w:ascii="Arial" w:hAnsi="Arial" w:cs="Arial"/>
          <w:b/>
          <w:bCs/>
          <w:lang w:val="fr-FR"/>
        </w:rPr>
        <w:t>’</w:t>
      </w:r>
      <w:r w:rsidRPr="00BA76ED">
        <w:rPr>
          <w:rFonts w:ascii="Arial" w:hAnsi="Arial" w:cs="Arial"/>
          <w:b/>
          <w:bCs/>
          <w:lang w:val="fr-FR"/>
        </w:rPr>
        <w:t>achats envisagés</w:t>
      </w:r>
      <w:r w:rsidRPr="00BA76ED">
        <w:rPr>
          <w:rFonts w:ascii="Arial" w:hAnsi="Arial" w:cs="Arial"/>
          <w:lang w:val="fr-FR"/>
        </w:rPr>
        <w:t>, en s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appuyant sur les marchés existants de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UCA</w:t>
      </w:r>
      <w:r w:rsidR="00531C23" w:rsidRPr="00BA76ED">
        <w:rPr>
          <w:rFonts w:ascii="Arial" w:hAnsi="Arial" w:cs="Arial"/>
          <w:lang w:val="fr-FR"/>
        </w:rPr>
        <w:t xml:space="preserve"> (tout achat hors marché devra être justifié et sa possibilité effective vérifiée)</w:t>
      </w:r>
      <w:r w:rsidRPr="00BA76ED">
        <w:rPr>
          <w:rFonts w:ascii="Arial" w:hAnsi="Arial" w:cs="Arial"/>
          <w:lang w:val="fr-FR"/>
        </w:rPr>
        <w:t xml:space="preserve">. Cette liste pourra comprendre, à titre </w:t>
      </w:r>
      <w:r w:rsidR="00C714F5" w:rsidRPr="00BA76ED">
        <w:rPr>
          <w:rFonts w:ascii="Arial" w:hAnsi="Arial" w:cs="Arial"/>
          <w:lang w:val="fr-FR"/>
        </w:rPr>
        <w:t>indicati</w:t>
      </w:r>
      <w:r w:rsidR="00DA20BF" w:rsidRPr="00BA76ED">
        <w:rPr>
          <w:rFonts w:ascii="Arial" w:hAnsi="Arial" w:cs="Arial"/>
          <w:lang w:val="fr-FR"/>
        </w:rPr>
        <w:t>f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: mobilier léger, éléments sensoriels, accessoires…</w:t>
      </w:r>
    </w:p>
    <w:p w14:paraId="1600FFF9" w14:textId="42828F21" w:rsidR="00C632EB" w:rsidRPr="00BA76ED" w:rsidRDefault="00531C23" w:rsidP="00531C23">
      <w:pPr>
        <w:pStyle w:val="Paragraphedeliste"/>
        <w:spacing w:after="0" w:line="240" w:lineRule="auto"/>
        <w:ind w:left="644"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NB : Aucun financement ne pourra être accordé</w:t>
      </w:r>
      <w:r w:rsidR="00021E4A" w:rsidRPr="00BA76ED">
        <w:rPr>
          <w:rFonts w:ascii="Arial" w:hAnsi="Arial" w:cs="Arial"/>
          <w:lang w:val="fr-FR"/>
        </w:rPr>
        <w:t xml:space="preserve"> </w:t>
      </w:r>
      <w:r w:rsidRPr="00BA76ED">
        <w:rPr>
          <w:rFonts w:ascii="Arial" w:hAnsi="Arial" w:cs="Arial"/>
          <w:lang w:val="fr-FR"/>
        </w:rPr>
        <w:t>pour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animation du lieu. C</w:t>
      </w:r>
      <w:r w:rsidR="00021E4A" w:rsidRPr="00BA76ED">
        <w:rPr>
          <w:rFonts w:ascii="Arial" w:hAnsi="Arial" w:cs="Arial"/>
          <w:lang w:val="fr-FR"/>
        </w:rPr>
        <w:t>et aspect</w:t>
      </w:r>
      <w:r w:rsidRPr="00BA76ED">
        <w:rPr>
          <w:rFonts w:ascii="Arial" w:hAnsi="Arial" w:cs="Arial"/>
          <w:lang w:val="fr-FR"/>
        </w:rPr>
        <w:t xml:space="preserve"> </w:t>
      </w:r>
      <w:r w:rsidR="00021E4A" w:rsidRPr="00BA76ED">
        <w:rPr>
          <w:rFonts w:ascii="Arial" w:hAnsi="Arial" w:cs="Arial"/>
          <w:lang w:val="fr-FR"/>
        </w:rPr>
        <w:t xml:space="preserve">revient </w:t>
      </w:r>
      <w:r w:rsidRPr="00BA76ED">
        <w:rPr>
          <w:rFonts w:ascii="Arial" w:hAnsi="Arial" w:cs="Arial"/>
          <w:lang w:val="fr-FR"/>
        </w:rPr>
        <w:t>aux composantes et structures concernées</w:t>
      </w:r>
      <w:r w:rsidR="00021E4A" w:rsidRPr="00BA76ED">
        <w:rPr>
          <w:rFonts w:ascii="Arial" w:hAnsi="Arial" w:cs="Arial"/>
          <w:lang w:val="fr-FR"/>
        </w:rPr>
        <w:t>.</w:t>
      </w:r>
    </w:p>
    <w:p w14:paraId="3F68A9EE" w14:textId="3E9332AA" w:rsidR="00C632EB" w:rsidRPr="00BA76ED" w:rsidRDefault="0031297E" w:rsidP="00BA76E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S</w:t>
      </w:r>
      <w:r w:rsidR="00FC158E" w:rsidRPr="00BA76ED">
        <w:rPr>
          <w:rFonts w:ascii="Arial" w:hAnsi="Arial" w:cs="Arial"/>
          <w:b/>
          <w:bCs/>
          <w:lang w:val="fr-FR"/>
        </w:rPr>
        <w:t>’</w:t>
      </w:r>
      <w:r w:rsidRPr="00BA76ED">
        <w:rPr>
          <w:rFonts w:ascii="Arial" w:hAnsi="Arial" w:cs="Arial"/>
          <w:b/>
          <w:bCs/>
          <w:lang w:val="fr-FR"/>
        </w:rPr>
        <w:t>engager dans la dynamique collective de la campagne UCA en faveur des espaces calmes</w:t>
      </w:r>
      <w:r w:rsidRPr="00BA76ED">
        <w:rPr>
          <w:rFonts w:ascii="Arial" w:hAnsi="Arial" w:cs="Arial"/>
          <w:lang w:val="fr-FR"/>
        </w:rPr>
        <w:t>, notamment par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affichage harmonisé, la diffusion d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un kit «</w:t>
      </w:r>
      <w:r w:rsidR="00531C23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espaces calmes</w:t>
      </w:r>
      <w:r w:rsidR="00531C23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» fourni par la Mission Handicap &amp; Inclusion, et, si souhaité, par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organisation d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animations ponctuelles (temps d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échange, diffusion d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info</w:t>
      </w:r>
      <w:r w:rsidR="00C714F5" w:rsidRPr="00BA76ED">
        <w:rPr>
          <w:rFonts w:ascii="Arial" w:hAnsi="Arial" w:cs="Arial"/>
          <w:lang w:val="fr-FR"/>
        </w:rPr>
        <w:t>rmations</w:t>
      </w:r>
      <w:r w:rsidRPr="00BA76ED">
        <w:rPr>
          <w:rFonts w:ascii="Arial" w:hAnsi="Arial" w:cs="Arial"/>
          <w:lang w:val="fr-FR"/>
        </w:rPr>
        <w:t xml:space="preserve"> sur les handicaps…).</w:t>
      </w:r>
    </w:p>
    <w:p w14:paraId="3F0A300E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2D4BEB53" w14:textId="4BB401C6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b/>
          <w:bCs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Modalités de sélection et d</w:t>
      </w:r>
      <w:r w:rsidR="00FC158E" w:rsidRPr="00BA76ED">
        <w:rPr>
          <w:rFonts w:ascii="Arial" w:hAnsi="Arial" w:cs="Arial"/>
          <w:b/>
          <w:bCs/>
          <w:lang w:val="fr-FR"/>
        </w:rPr>
        <w:t>’</w:t>
      </w:r>
      <w:r w:rsidRPr="00BA76ED">
        <w:rPr>
          <w:rFonts w:ascii="Arial" w:hAnsi="Arial" w:cs="Arial"/>
          <w:b/>
          <w:bCs/>
          <w:lang w:val="fr-FR"/>
        </w:rPr>
        <w:t>accompagnement</w:t>
      </w:r>
    </w:p>
    <w:p w14:paraId="0C9B765D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sz w:val="12"/>
          <w:szCs w:val="12"/>
          <w:lang w:val="fr-FR"/>
        </w:rPr>
      </w:pPr>
    </w:p>
    <w:p w14:paraId="725421F3" w14:textId="4690DC87" w:rsidR="00C714F5" w:rsidRPr="00BA76ED" w:rsidRDefault="0031297E" w:rsidP="00BA76ED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BA76ED">
        <w:rPr>
          <w:rFonts w:ascii="Arial" w:hAnsi="Arial" w:cs="Arial"/>
          <w:lang w:val="fr-FR"/>
        </w:rPr>
        <w:t xml:space="preserve">Les projets seront examinés dans la première quinzaine de </w:t>
      </w:r>
      <w:r w:rsidR="00DF1EC0" w:rsidRPr="00BA76ED">
        <w:rPr>
          <w:rFonts w:ascii="Arial" w:hAnsi="Arial" w:cs="Arial"/>
          <w:lang w:val="fr-FR"/>
        </w:rPr>
        <w:t>juin</w:t>
      </w:r>
      <w:r w:rsidRPr="00BA76ED">
        <w:rPr>
          <w:rFonts w:ascii="Arial" w:hAnsi="Arial" w:cs="Arial"/>
          <w:lang w:val="fr-FR"/>
        </w:rPr>
        <w:t>. Un financement de fonctionnement pourra être alloué pour couvrir tout ou partie des achats identifiés. La Mission Handicap &amp; Inclusion accompagner</w:t>
      </w:r>
      <w:r w:rsidR="00C714F5" w:rsidRPr="00BA76ED">
        <w:rPr>
          <w:rFonts w:ascii="Arial" w:hAnsi="Arial" w:cs="Arial"/>
          <w:lang w:val="fr-FR"/>
        </w:rPr>
        <w:t>a</w:t>
      </w:r>
      <w:r w:rsidRPr="00BA76ED">
        <w:rPr>
          <w:rFonts w:ascii="Arial" w:hAnsi="Arial" w:cs="Arial"/>
          <w:lang w:val="fr-FR"/>
        </w:rPr>
        <w:t xml:space="preserve"> les porteurs de projet dans le choix du matériel,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aménagement et la valorisation de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espace.</w:t>
      </w:r>
      <w:r w:rsidR="00BA76ED" w:rsidRPr="00BA76ED">
        <w:rPr>
          <w:rFonts w:ascii="Arial" w:hAnsi="Arial" w:cs="Arial"/>
        </w:rPr>
        <w:t xml:space="preserve"> </w:t>
      </w:r>
      <w:r w:rsidR="00BA76ED" w:rsidRPr="00BA76E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Ce projet peut </w:t>
      </w:r>
      <w:r w:rsidR="00BA76ED" w:rsidRPr="00BA76ED">
        <w:rPr>
          <w:rFonts w:ascii="Arial" w:eastAsia="Times New Roman" w:hAnsi="Arial" w:cs="Arial"/>
          <w:sz w:val="24"/>
          <w:szCs w:val="24"/>
          <w:lang w:val="fr-FR" w:eastAsia="fr-FR"/>
        </w:rPr>
        <w:t>venir en complément de</w:t>
      </w:r>
      <w:r w:rsidR="00BA76ED" w:rsidRPr="00BA76E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l'appel à projet CVEC actions transverses en cours. </w:t>
      </w:r>
      <w:r w:rsidR="00BA76ED" w:rsidRPr="00BA76ED">
        <w:rPr>
          <w:rFonts w:ascii="Arial" w:eastAsia="Times New Roman" w:hAnsi="Arial" w:cs="Arial"/>
          <w:sz w:val="24"/>
          <w:szCs w:val="24"/>
          <w:lang w:val="fr-FR" w:eastAsia="fr-FR"/>
        </w:rPr>
        <w:t>Pour une analyse du projet dans sa globalité, l</w:t>
      </w:r>
      <w:r w:rsidR="00BA76ED" w:rsidRPr="00BA76ED">
        <w:rPr>
          <w:rFonts w:ascii="Arial" w:eastAsia="Times New Roman" w:hAnsi="Arial" w:cs="Arial"/>
          <w:sz w:val="24"/>
          <w:szCs w:val="24"/>
          <w:lang w:val="fr-FR" w:eastAsia="fr-FR"/>
        </w:rPr>
        <w:t>a fiche financière devra faire apparaitre les autres sources de financement du projet et présenter un budget équilibré.</w:t>
      </w:r>
    </w:p>
    <w:p w14:paraId="248CBE61" w14:textId="2ED667AD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b/>
          <w:bCs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Pour candidater</w:t>
      </w:r>
    </w:p>
    <w:p w14:paraId="1F4EAB90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sz w:val="12"/>
          <w:szCs w:val="12"/>
          <w:lang w:val="fr-FR"/>
        </w:rPr>
      </w:pPr>
    </w:p>
    <w:p w14:paraId="5819E975" w14:textId="2CD27FC9" w:rsidR="00C714F5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 xml:space="preserve">Merci de </w:t>
      </w:r>
      <w:r w:rsidR="00C714F5" w:rsidRPr="00BA76ED">
        <w:rPr>
          <w:rFonts w:ascii="Arial" w:hAnsi="Arial" w:cs="Arial"/>
          <w:lang w:val="fr-FR"/>
        </w:rPr>
        <w:t xml:space="preserve">nous </w:t>
      </w:r>
      <w:r w:rsidRPr="00BA76ED">
        <w:rPr>
          <w:rFonts w:ascii="Arial" w:hAnsi="Arial" w:cs="Arial"/>
          <w:lang w:val="fr-FR"/>
        </w:rPr>
        <w:t xml:space="preserve">faire parvenir avant le </w:t>
      </w:r>
      <w:r w:rsidR="00BA76ED">
        <w:rPr>
          <w:rFonts w:ascii="Arial" w:hAnsi="Arial" w:cs="Arial"/>
          <w:lang w:val="fr-FR"/>
        </w:rPr>
        <w:t>2</w:t>
      </w:r>
      <w:r w:rsidRPr="00BA76ED">
        <w:rPr>
          <w:rFonts w:ascii="Arial" w:hAnsi="Arial" w:cs="Arial"/>
          <w:lang w:val="fr-FR"/>
        </w:rPr>
        <w:t xml:space="preserve">3 </w:t>
      </w:r>
      <w:r w:rsidR="00DF1EC0" w:rsidRPr="00BA76ED">
        <w:rPr>
          <w:rFonts w:ascii="Arial" w:hAnsi="Arial" w:cs="Arial"/>
          <w:lang w:val="fr-FR"/>
        </w:rPr>
        <w:t>mai</w:t>
      </w:r>
      <w:r w:rsidRPr="00BA76ED">
        <w:rPr>
          <w:rFonts w:ascii="Arial" w:hAnsi="Arial" w:cs="Arial"/>
          <w:lang w:val="fr-FR"/>
        </w:rPr>
        <w:t xml:space="preserve"> 2025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:</w:t>
      </w:r>
    </w:p>
    <w:p w14:paraId="2B6D6CC7" w14:textId="2A0B0691" w:rsidR="00C714F5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- Une fiche synthétique précisant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espace identifié, les usages envisagés et la liste des achats souhaités.</w:t>
      </w:r>
    </w:p>
    <w:p w14:paraId="0407AB97" w14:textId="66403D29" w:rsidR="00BA76ED" w:rsidRPr="00BA76ED" w:rsidRDefault="00BA76ED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 xml:space="preserve">- </w:t>
      </w:r>
      <w:r w:rsidRPr="00BA76ED">
        <w:rPr>
          <w:rFonts w:ascii="Arial" w:hAnsi="Arial" w:cs="Arial"/>
        </w:rPr>
        <w:t>La</w:t>
      </w:r>
      <w:r w:rsidRPr="00BA76ED">
        <w:rPr>
          <w:rFonts w:ascii="Arial" w:hAnsi="Arial" w:cs="Arial"/>
        </w:rPr>
        <w:t xml:space="preserve"> fiche financière présentant un budget équilibré avec la part relevant de la CVEC actions transverses</w:t>
      </w:r>
      <w:r w:rsidRPr="00BA76ED">
        <w:rPr>
          <w:rFonts w:ascii="Arial" w:hAnsi="Arial" w:cs="Arial"/>
        </w:rPr>
        <w:t xml:space="preserve"> si vous avez soumis un dossier lors de l’appel à projet en cours</w:t>
      </w:r>
      <w:r w:rsidR="00D8591C">
        <w:rPr>
          <w:rFonts w:ascii="Arial" w:hAnsi="Arial" w:cs="Arial"/>
        </w:rPr>
        <w:t>.</w:t>
      </w:r>
    </w:p>
    <w:p w14:paraId="3FDE32E5" w14:textId="77777777" w:rsidR="00C714F5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- Toute photo ou plan utile à la compréhension du projet.</w:t>
      </w:r>
    </w:p>
    <w:p w14:paraId="4A0E51C0" w14:textId="77777777" w:rsidR="00C714F5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- Un contact identifié pour le suivi.</w:t>
      </w:r>
    </w:p>
    <w:p w14:paraId="46706794" w14:textId="227D1617" w:rsidR="00C632EB" w:rsidRPr="00BA76ED" w:rsidRDefault="0031297E" w:rsidP="00BA76ED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BA76ED">
        <w:rPr>
          <w:rFonts w:ascii="Arial" w:hAnsi="Arial" w:cs="Arial"/>
          <w:lang w:val="fr-FR"/>
        </w:rPr>
        <w:t>À envoyer à</w:t>
      </w:r>
      <w:r w:rsidR="00BA76ED" w:rsidRPr="00BA76ED">
        <w:rPr>
          <w:rFonts w:ascii="Arial" w:hAnsi="Arial" w:cs="Arial"/>
          <w:lang w:val="fr-FR"/>
        </w:rPr>
        <w:t xml:space="preserve"> : </w:t>
      </w:r>
      <w:hyperlink r:id="rId6" w:tgtFrame="_blank" w:history="1">
        <w:r w:rsidR="00BA76ED" w:rsidRPr="00BA76E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FR" w:eastAsia="fr-FR"/>
          </w:rPr>
          <w:t>sensibilisation-handicaps.dvu@uca.fr</w:t>
        </w:r>
      </w:hyperlink>
    </w:p>
    <w:p w14:paraId="22A6DAA0" w14:textId="77777777" w:rsidR="00FC158E" w:rsidRPr="00BA76ED" w:rsidRDefault="00FC158E">
      <w:pPr>
        <w:rPr>
          <w:rFonts w:ascii="Arial" w:hAnsi="Arial" w:cs="Arial"/>
          <w:b/>
          <w:bCs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br w:type="page"/>
      </w:r>
    </w:p>
    <w:p w14:paraId="74BBB4D5" w14:textId="77777777" w:rsidR="00C229CC" w:rsidRDefault="00C229CC" w:rsidP="00C714F5">
      <w:pPr>
        <w:spacing w:after="0" w:line="240" w:lineRule="auto"/>
        <w:contextualSpacing/>
        <w:jc w:val="center"/>
        <w:rPr>
          <w:rFonts w:ascii="Arial" w:hAnsi="Arial" w:cs="Arial"/>
          <w:b/>
          <w:bCs/>
          <w:lang w:val="fr-FR"/>
        </w:rPr>
      </w:pPr>
    </w:p>
    <w:p w14:paraId="4E168BC3" w14:textId="306A2FE2" w:rsidR="00C632EB" w:rsidRPr="00BA76ED" w:rsidRDefault="0031297E" w:rsidP="00C714F5">
      <w:pPr>
        <w:spacing w:after="0" w:line="240" w:lineRule="auto"/>
        <w:contextualSpacing/>
        <w:jc w:val="center"/>
        <w:rPr>
          <w:rFonts w:ascii="Arial" w:hAnsi="Arial" w:cs="Arial"/>
          <w:b/>
          <w:bCs/>
          <w:lang w:val="fr-FR"/>
        </w:rPr>
      </w:pPr>
      <w:r w:rsidRPr="00BA76ED">
        <w:rPr>
          <w:rFonts w:ascii="Arial" w:hAnsi="Arial" w:cs="Arial"/>
          <w:b/>
          <w:bCs/>
          <w:lang w:val="fr-FR"/>
        </w:rPr>
        <w:t>Fiche-type de réponse à l</w:t>
      </w:r>
      <w:r w:rsidR="00FC158E" w:rsidRPr="00BA76ED">
        <w:rPr>
          <w:rFonts w:ascii="Arial" w:hAnsi="Arial" w:cs="Arial"/>
          <w:b/>
          <w:bCs/>
          <w:lang w:val="fr-FR"/>
        </w:rPr>
        <w:t>’</w:t>
      </w:r>
      <w:r w:rsidRPr="00BA76ED">
        <w:rPr>
          <w:rFonts w:ascii="Arial" w:hAnsi="Arial" w:cs="Arial"/>
          <w:b/>
          <w:bCs/>
          <w:lang w:val="fr-FR"/>
        </w:rPr>
        <w:t>appel à projets</w:t>
      </w:r>
    </w:p>
    <w:p w14:paraId="4FDDAEFF" w14:textId="6015575F" w:rsidR="00C714F5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2DC5CB6D" w14:textId="49774C26" w:rsidR="00C229CC" w:rsidRDefault="00C229CC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00B12A1F" w14:textId="77777777" w:rsidR="00D8591C" w:rsidRPr="00BA76ED" w:rsidRDefault="00D8591C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51FCA4EF" w14:textId="2818861C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Nom de la composante / structure :</w:t>
      </w:r>
    </w:p>
    <w:p w14:paraId="420E024D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645050A5" w14:textId="068F49C7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proofErr w:type="spellStart"/>
      <w:r w:rsidRPr="00BA76ED">
        <w:rPr>
          <w:rFonts w:ascii="Arial" w:hAnsi="Arial" w:cs="Arial"/>
          <w:lang w:val="fr-FR"/>
        </w:rPr>
        <w:t>Référent·e</w:t>
      </w:r>
      <w:proofErr w:type="spellEnd"/>
      <w:r w:rsidRPr="00BA76ED">
        <w:rPr>
          <w:rFonts w:ascii="Arial" w:hAnsi="Arial" w:cs="Arial"/>
          <w:lang w:val="fr-FR"/>
        </w:rPr>
        <w:t xml:space="preserve"> du projet :</w:t>
      </w:r>
    </w:p>
    <w:p w14:paraId="45B4B4E8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7832B263" w14:textId="2E7B27DA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Fonction :</w:t>
      </w:r>
    </w:p>
    <w:p w14:paraId="7A414BD5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4BF2881C" w14:textId="408CF289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Téléphone :</w:t>
      </w:r>
    </w:p>
    <w:p w14:paraId="4822541B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325C75A9" w14:textId="360710F5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Adresse e-mail :</w:t>
      </w:r>
    </w:p>
    <w:p w14:paraId="18B7BD0F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201AA5EB" w14:textId="23437EA3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Espace proposé (type, localisation, superficie)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:</w:t>
      </w:r>
    </w:p>
    <w:p w14:paraId="02CF0A4D" w14:textId="1819EE5D" w:rsidR="00C714F5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35DA307D" w14:textId="0E8308ED" w:rsidR="00C229CC" w:rsidRDefault="00C229CC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53FA1395" w14:textId="77777777" w:rsidR="00C229CC" w:rsidRPr="00BA76ED" w:rsidRDefault="00C229CC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398D4250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395BF3D3" w14:textId="046EA311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Usages envisagés de l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>espace calme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:</w:t>
      </w:r>
    </w:p>
    <w:p w14:paraId="5A4E6315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10EB1074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32F0E925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5BF374B8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73AB3B1D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43D71739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17A5BC1F" w14:textId="7B555E48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Liste d</w:t>
      </w:r>
      <w:r w:rsidR="00FC158E" w:rsidRPr="00BA76ED">
        <w:rPr>
          <w:rFonts w:ascii="Arial" w:hAnsi="Arial" w:cs="Arial"/>
          <w:lang w:val="fr-FR"/>
        </w:rPr>
        <w:t>’</w:t>
      </w:r>
      <w:r w:rsidRPr="00BA76ED">
        <w:rPr>
          <w:rFonts w:ascii="Arial" w:hAnsi="Arial" w:cs="Arial"/>
          <w:lang w:val="fr-FR"/>
        </w:rPr>
        <w:t xml:space="preserve">achats souhaités (avec références si possible, en lien avec UGAP, </w:t>
      </w:r>
      <w:proofErr w:type="spellStart"/>
      <w:r w:rsidRPr="00BA76ED">
        <w:rPr>
          <w:rFonts w:ascii="Arial" w:hAnsi="Arial" w:cs="Arial"/>
          <w:strike/>
          <w:lang w:val="fr-FR"/>
        </w:rPr>
        <w:t>Azergo</w:t>
      </w:r>
      <w:proofErr w:type="spellEnd"/>
      <w:r w:rsidRPr="00BA76ED">
        <w:rPr>
          <w:rFonts w:ascii="Arial" w:hAnsi="Arial" w:cs="Arial"/>
          <w:strike/>
          <w:lang w:val="fr-FR"/>
        </w:rPr>
        <w:t>,</w:t>
      </w:r>
      <w:r w:rsidRPr="00BA76ED">
        <w:rPr>
          <w:rFonts w:ascii="Arial" w:hAnsi="Arial" w:cs="Arial"/>
          <w:lang w:val="fr-FR"/>
        </w:rPr>
        <w:t xml:space="preserve"> etc.)</w:t>
      </w:r>
      <w:r w:rsidR="00C714F5" w:rsidRPr="00BA76ED">
        <w:rPr>
          <w:rFonts w:ascii="Arial" w:hAnsi="Arial" w:cs="Arial"/>
          <w:lang w:val="fr-FR"/>
        </w:rPr>
        <w:t> </w:t>
      </w:r>
      <w:r w:rsidRPr="00BA76ED">
        <w:rPr>
          <w:rFonts w:ascii="Arial" w:hAnsi="Arial" w:cs="Arial"/>
          <w:lang w:val="fr-FR"/>
        </w:rPr>
        <w:t>:</w:t>
      </w:r>
    </w:p>
    <w:p w14:paraId="514BC20F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2C7B4104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55E1A0AC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154D6025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230BE7DC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6B7F5BA0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45C65937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3290E762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12BEF979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0969EB52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177ACAAF" w14:textId="77777777" w:rsidR="00C714F5" w:rsidRPr="00BA76ED" w:rsidRDefault="00C714F5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4C2EBC44" w14:textId="718F95A1" w:rsidR="00C632EB" w:rsidRPr="00BA76ED" w:rsidRDefault="0031297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A76ED">
        <w:rPr>
          <w:rFonts w:ascii="Arial" w:hAnsi="Arial" w:cs="Arial"/>
          <w:lang w:val="fr-FR"/>
        </w:rPr>
        <w:t>Photos ou plans joints (oui/non)</w:t>
      </w:r>
      <w:r w:rsidR="00C714F5" w:rsidRPr="00BA76ED">
        <w:rPr>
          <w:rFonts w:ascii="Arial" w:hAnsi="Arial" w:cs="Arial"/>
          <w:lang w:val="fr-FR"/>
        </w:rPr>
        <w:t> :</w:t>
      </w:r>
    </w:p>
    <w:p w14:paraId="2C6C315C" w14:textId="4DAE513D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336F818E" w14:textId="57C9E9BE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781910F6" w14:textId="74AC9FA1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1D74E3D8" w14:textId="28558ECA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7553B37F" w14:textId="271A005B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2B8C6838" w14:textId="4486F8EC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5C95A0DF" w14:textId="73496DC4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6304E17A" w14:textId="4D4AE71A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4D90ABDB" w14:textId="421DE17A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0F5FD4E6" w14:textId="6A772B48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78C45E0B" w14:textId="2058B3A0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05EFBCB2" w14:textId="5926BBA6" w:rsidR="003E6E7B" w:rsidRPr="00BA76ED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bookmarkStart w:id="0" w:name="_Hlk195856294"/>
    </w:p>
    <w:p w14:paraId="3DF9B7FB" w14:textId="4947CE44" w:rsidR="003E6E7B" w:rsidRPr="008A7E07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 w:rsidRPr="008A7E07">
        <w:rPr>
          <w:rFonts w:ascii="Arial" w:hAnsi="Arial" w:cs="Arial"/>
          <w:b/>
          <w:bCs/>
          <w:sz w:val="32"/>
          <w:szCs w:val="32"/>
          <w:lang w:val="fr-FR"/>
        </w:rPr>
        <w:lastRenderedPageBreak/>
        <w:t>Fiche financière</w:t>
      </w:r>
    </w:p>
    <w:p w14:paraId="62C0D9F2" w14:textId="1B76118D" w:rsidR="003E6E7B" w:rsidRPr="003E6E7B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p w14:paraId="1B8C12A2" w14:textId="77777777" w:rsidR="003E6E7B" w:rsidRPr="003E6E7B" w:rsidRDefault="003E6E7B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3119"/>
        <w:gridCol w:w="1560"/>
        <w:gridCol w:w="2971"/>
        <w:gridCol w:w="1559"/>
      </w:tblGrid>
      <w:tr w:rsidR="003E6E7B" w:rsidRPr="003E6E7B" w14:paraId="3571890A" w14:textId="77777777" w:rsidTr="00C229CC">
        <w:trPr>
          <w:trHeight w:val="463"/>
          <w:jc w:val="center"/>
        </w:trPr>
        <w:tc>
          <w:tcPr>
            <w:tcW w:w="3119" w:type="dxa"/>
          </w:tcPr>
          <w:p w14:paraId="1CBE6BB6" w14:textId="77777777" w:rsidR="004929FE" w:rsidRPr="004929FE" w:rsidRDefault="004929FE" w:rsidP="004929FE">
            <w:pPr>
              <w:contextualSpacing/>
              <w:jc w:val="center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3DFD8F9D" w14:textId="5B245ADB" w:rsidR="003E6E7B" w:rsidRPr="004929FE" w:rsidRDefault="003E6E7B" w:rsidP="004929FE">
            <w:pPr>
              <w:contextualSpacing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4929FE">
              <w:rPr>
                <w:rFonts w:ascii="Arial" w:hAnsi="Arial" w:cs="Arial"/>
                <w:b/>
                <w:bCs/>
                <w:lang w:val="fr-FR"/>
              </w:rPr>
              <w:t>Dépenses</w:t>
            </w:r>
          </w:p>
        </w:tc>
        <w:tc>
          <w:tcPr>
            <w:tcW w:w="1560" w:type="dxa"/>
          </w:tcPr>
          <w:p w14:paraId="65E33113" w14:textId="77777777" w:rsidR="004929FE" w:rsidRPr="004929FE" w:rsidRDefault="004929FE" w:rsidP="004929FE">
            <w:pPr>
              <w:contextualSpacing/>
              <w:jc w:val="center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437B3FF2" w14:textId="5036EB06" w:rsidR="003E6E7B" w:rsidRPr="004929FE" w:rsidRDefault="003E6E7B" w:rsidP="004929FE">
            <w:pPr>
              <w:contextualSpacing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4929FE">
              <w:rPr>
                <w:rFonts w:ascii="Arial" w:hAnsi="Arial" w:cs="Arial"/>
                <w:b/>
                <w:bCs/>
                <w:lang w:val="fr-FR"/>
              </w:rPr>
              <w:t>Montant TTC</w:t>
            </w:r>
          </w:p>
        </w:tc>
        <w:tc>
          <w:tcPr>
            <w:tcW w:w="2971" w:type="dxa"/>
          </w:tcPr>
          <w:p w14:paraId="11134874" w14:textId="77777777" w:rsidR="004929FE" w:rsidRPr="004929FE" w:rsidRDefault="004929FE" w:rsidP="004929FE">
            <w:pPr>
              <w:contextualSpacing/>
              <w:jc w:val="center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6A50EC72" w14:textId="7E125515" w:rsidR="003E6E7B" w:rsidRPr="004929FE" w:rsidRDefault="003E6E7B" w:rsidP="004929FE">
            <w:pPr>
              <w:contextualSpacing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4929FE">
              <w:rPr>
                <w:rFonts w:ascii="Arial" w:hAnsi="Arial" w:cs="Arial"/>
                <w:b/>
                <w:bCs/>
                <w:lang w:val="fr-FR"/>
              </w:rPr>
              <w:t>Recette</w:t>
            </w:r>
            <w:r w:rsidR="004929FE">
              <w:rPr>
                <w:rFonts w:ascii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559" w:type="dxa"/>
          </w:tcPr>
          <w:p w14:paraId="48C664B5" w14:textId="77777777" w:rsidR="004929FE" w:rsidRPr="004929FE" w:rsidRDefault="004929FE" w:rsidP="004929FE">
            <w:pPr>
              <w:contextualSpacing/>
              <w:jc w:val="center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3D8BC0D5" w14:textId="2BCF3F91" w:rsidR="003E6E7B" w:rsidRPr="004929FE" w:rsidRDefault="003E6E7B" w:rsidP="004929FE">
            <w:pPr>
              <w:contextualSpacing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4929FE">
              <w:rPr>
                <w:rFonts w:ascii="Arial" w:hAnsi="Arial" w:cs="Arial"/>
                <w:b/>
                <w:bCs/>
                <w:lang w:val="fr-FR"/>
              </w:rPr>
              <w:t>Montant TTC</w:t>
            </w:r>
          </w:p>
        </w:tc>
      </w:tr>
      <w:tr w:rsidR="003E6E7B" w:rsidRPr="003E6E7B" w14:paraId="65B8BE13" w14:textId="77777777" w:rsidTr="00C229CC">
        <w:trPr>
          <w:trHeight w:val="463"/>
          <w:jc w:val="center"/>
        </w:trPr>
        <w:tc>
          <w:tcPr>
            <w:tcW w:w="3119" w:type="dxa"/>
          </w:tcPr>
          <w:p w14:paraId="5FA3206B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</w:tcPr>
          <w:p w14:paraId="101F9645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2971" w:type="dxa"/>
          </w:tcPr>
          <w:p w14:paraId="26D49009" w14:textId="509F3E0F" w:rsidR="003E6E7B" w:rsidRPr="00C229CC" w:rsidRDefault="004929FE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  <w:r w:rsidRPr="00C229CC">
              <w:rPr>
                <w:rFonts w:ascii="Arial" w:hAnsi="Arial" w:cs="Arial"/>
                <w:lang w:val="fr-FR"/>
              </w:rPr>
              <w:t>CVEC actions transverses</w:t>
            </w:r>
          </w:p>
        </w:tc>
        <w:tc>
          <w:tcPr>
            <w:tcW w:w="1559" w:type="dxa"/>
          </w:tcPr>
          <w:p w14:paraId="43A6813C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E6E7B" w:rsidRPr="003E6E7B" w14:paraId="68683C02" w14:textId="77777777" w:rsidTr="00C229CC">
        <w:trPr>
          <w:trHeight w:val="463"/>
          <w:jc w:val="center"/>
        </w:trPr>
        <w:tc>
          <w:tcPr>
            <w:tcW w:w="3119" w:type="dxa"/>
          </w:tcPr>
          <w:p w14:paraId="7B60D297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</w:tcPr>
          <w:p w14:paraId="4C7BD614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2971" w:type="dxa"/>
          </w:tcPr>
          <w:p w14:paraId="45D09468" w14:textId="150A5AA8" w:rsidR="003E6E7B" w:rsidRPr="003E6E7B" w:rsidRDefault="004929FE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Ressources propres</w:t>
            </w:r>
          </w:p>
        </w:tc>
        <w:tc>
          <w:tcPr>
            <w:tcW w:w="1559" w:type="dxa"/>
          </w:tcPr>
          <w:p w14:paraId="6DDA3D22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E6E7B" w:rsidRPr="003E6E7B" w14:paraId="4F0CE621" w14:textId="77777777" w:rsidTr="00C229CC">
        <w:trPr>
          <w:trHeight w:val="463"/>
          <w:jc w:val="center"/>
        </w:trPr>
        <w:tc>
          <w:tcPr>
            <w:tcW w:w="3119" w:type="dxa"/>
          </w:tcPr>
          <w:p w14:paraId="01D2FFE8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</w:tcPr>
          <w:p w14:paraId="16B01F55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2971" w:type="dxa"/>
          </w:tcPr>
          <w:p w14:paraId="7DAEAE42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</w:tcPr>
          <w:p w14:paraId="31601B87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E6E7B" w:rsidRPr="003E6E7B" w14:paraId="453CBC6D" w14:textId="77777777" w:rsidTr="00C229CC">
        <w:trPr>
          <w:trHeight w:val="463"/>
          <w:jc w:val="center"/>
        </w:trPr>
        <w:tc>
          <w:tcPr>
            <w:tcW w:w="3119" w:type="dxa"/>
          </w:tcPr>
          <w:p w14:paraId="3CE562E5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</w:tcPr>
          <w:p w14:paraId="470FBC0A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2971" w:type="dxa"/>
          </w:tcPr>
          <w:p w14:paraId="41ADA519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</w:tcPr>
          <w:p w14:paraId="3DA38547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E6E7B" w:rsidRPr="003E6E7B" w14:paraId="7970B6B7" w14:textId="77777777" w:rsidTr="00C229CC">
        <w:trPr>
          <w:trHeight w:val="463"/>
          <w:jc w:val="center"/>
        </w:trPr>
        <w:tc>
          <w:tcPr>
            <w:tcW w:w="3119" w:type="dxa"/>
          </w:tcPr>
          <w:p w14:paraId="46156DF3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</w:tcPr>
          <w:p w14:paraId="3F27E0A3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2971" w:type="dxa"/>
          </w:tcPr>
          <w:p w14:paraId="77E1B37D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</w:tcPr>
          <w:p w14:paraId="28AFC04B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E6E7B" w:rsidRPr="003E6E7B" w14:paraId="38095F16" w14:textId="77777777" w:rsidTr="00C229CC">
        <w:trPr>
          <w:trHeight w:val="463"/>
          <w:jc w:val="center"/>
        </w:trPr>
        <w:tc>
          <w:tcPr>
            <w:tcW w:w="3119" w:type="dxa"/>
          </w:tcPr>
          <w:p w14:paraId="741E7088" w14:textId="77777777" w:rsidR="003E6E7B" w:rsidRPr="003E6E7B" w:rsidRDefault="003E6E7B" w:rsidP="00C714F5">
            <w:pPr>
              <w:contextualSpacing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</w:tcPr>
          <w:p w14:paraId="4ECFFA88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2971" w:type="dxa"/>
          </w:tcPr>
          <w:p w14:paraId="1BCB0741" w14:textId="35B76913" w:rsidR="003E6E7B" w:rsidRPr="00C229CC" w:rsidRDefault="004929FE" w:rsidP="00C714F5">
            <w:pPr>
              <w:contextualSpacing/>
              <w:jc w:val="both"/>
              <w:rPr>
                <w:rFonts w:ascii="Arial" w:hAnsi="Arial" w:cs="Arial"/>
                <w:b/>
                <w:bCs/>
                <w:color w:val="00B050"/>
                <w:lang w:val="fr-FR"/>
              </w:rPr>
            </w:pPr>
            <w:r w:rsidRPr="00C229CC">
              <w:rPr>
                <w:rFonts w:ascii="Arial" w:hAnsi="Arial" w:cs="Arial"/>
                <w:b/>
                <w:bCs/>
                <w:color w:val="00B050"/>
                <w:lang w:val="fr-FR"/>
              </w:rPr>
              <w:t>AAP espaces calmes</w:t>
            </w:r>
          </w:p>
        </w:tc>
        <w:tc>
          <w:tcPr>
            <w:tcW w:w="1559" w:type="dxa"/>
          </w:tcPr>
          <w:p w14:paraId="56E205E7" w14:textId="77777777" w:rsidR="003E6E7B" w:rsidRPr="003E6E7B" w:rsidRDefault="003E6E7B" w:rsidP="004929FE">
            <w:pPr>
              <w:contextualSpacing/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E6E7B" w:rsidRPr="004929FE" w14:paraId="0C48AABB" w14:textId="77777777" w:rsidTr="00C229CC">
        <w:trPr>
          <w:trHeight w:val="463"/>
          <w:jc w:val="center"/>
        </w:trPr>
        <w:tc>
          <w:tcPr>
            <w:tcW w:w="3119" w:type="dxa"/>
          </w:tcPr>
          <w:p w14:paraId="45660E6F" w14:textId="77777777" w:rsidR="004929FE" w:rsidRPr="004929FE" w:rsidRDefault="004929FE" w:rsidP="00C714F5">
            <w:pPr>
              <w:contextualSpacing/>
              <w:jc w:val="both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5A91A59C" w14:textId="205704F6" w:rsidR="003E6E7B" w:rsidRPr="004929FE" w:rsidRDefault="003E6E7B" w:rsidP="00C714F5">
            <w:pPr>
              <w:contextualSpacing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4929FE">
              <w:rPr>
                <w:rFonts w:ascii="Arial" w:hAnsi="Arial" w:cs="Arial"/>
                <w:b/>
                <w:bCs/>
                <w:lang w:val="fr-FR"/>
              </w:rPr>
              <w:t>Total des dépenses</w:t>
            </w:r>
          </w:p>
        </w:tc>
        <w:tc>
          <w:tcPr>
            <w:tcW w:w="1560" w:type="dxa"/>
          </w:tcPr>
          <w:p w14:paraId="1CDEC47A" w14:textId="77777777" w:rsidR="003E6E7B" w:rsidRPr="004929FE" w:rsidRDefault="003E6E7B" w:rsidP="004929FE">
            <w:pPr>
              <w:contextualSpacing/>
              <w:jc w:val="right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208B2A9D" w14:textId="77449395" w:rsidR="004929FE" w:rsidRPr="004929FE" w:rsidRDefault="004929FE" w:rsidP="004929FE">
            <w:pPr>
              <w:contextualSpacing/>
              <w:jc w:val="right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2971" w:type="dxa"/>
          </w:tcPr>
          <w:p w14:paraId="6BFFBA24" w14:textId="77777777" w:rsidR="004929FE" w:rsidRPr="004929FE" w:rsidRDefault="004929FE" w:rsidP="00C714F5">
            <w:pPr>
              <w:contextualSpacing/>
              <w:jc w:val="both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15EE93D1" w14:textId="29242DDA" w:rsidR="003E6E7B" w:rsidRPr="004929FE" w:rsidRDefault="003E6E7B" w:rsidP="00C714F5">
            <w:pPr>
              <w:contextualSpacing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4929FE">
              <w:rPr>
                <w:rFonts w:ascii="Arial" w:hAnsi="Arial" w:cs="Arial"/>
                <w:b/>
                <w:bCs/>
                <w:lang w:val="fr-FR"/>
              </w:rPr>
              <w:t>Total des recettes</w:t>
            </w:r>
          </w:p>
        </w:tc>
        <w:tc>
          <w:tcPr>
            <w:tcW w:w="1559" w:type="dxa"/>
          </w:tcPr>
          <w:p w14:paraId="089D6564" w14:textId="77777777" w:rsidR="003E6E7B" w:rsidRPr="004929FE" w:rsidRDefault="003E6E7B" w:rsidP="004929FE">
            <w:pPr>
              <w:contextualSpacing/>
              <w:jc w:val="right"/>
              <w:rPr>
                <w:rFonts w:ascii="Arial" w:hAnsi="Arial" w:cs="Arial"/>
                <w:sz w:val="8"/>
                <w:szCs w:val="8"/>
                <w:lang w:val="fr-FR"/>
              </w:rPr>
            </w:pPr>
          </w:p>
          <w:p w14:paraId="7CA9770A" w14:textId="4C94EEE3" w:rsidR="004929FE" w:rsidRPr="004929FE" w:rsidRDefault="004929FE" w:rsidP="004929FE">
            <w:pPr>
              <w:contextualSpacing/>
              <w:jc w:val="right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</w:tbl>
    <w:p w14:paraId="06CB9248" w14:textId="4944938E" w:rsidR="003E6E7B" w:rsidRDefault="003E6E7B" w:rsidP="00C714F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14:paraId="66DD9516" w14:textId="79B84B02" w:rsidR="004929FE" w:rsidRPr="008A7E07" w:rsidRDefault="004929FE" w:rsidP="00C714F5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8A7E07">
        <w:rPr>
          <w:rFonts w:ascii="Arial" w:hAnsi="Arial" w:cs="Arial"/>
          <w:lang w:val="fr-FR"/>
        </w:rPr>
        <w:t>La fiche financière doit présenter un budget équilibré.</w:t>
      </w:r>
      <w:bookmarkEnd w:id="0"/>
    </w:p>
    <w:sectPr w:rsidR="004929FE" w:rsidRPr="008A7E07" w:rsidSect="00BA76ED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B4516"/>
    <w:multiLevelType w:val="hybridMultilevel"/>
    <w:tmpl w:val="C89A77BE"/>
    <w:lvl w:ilvl="0" w:tplc="59F22B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E2160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4A"/>
    <w:rsid w:val="00034616"/>
    <w:rsid w:val="0006063C"/>
    <w:rsid w:val="0015074B"/>
    <w:rsid w:val="0029639D"/>
    <w:rsid w:val="0031297E"/>
    <w:rsid w:val="00326F90"/>
    <w:rsid w:val="003E6E7B"/>
    <w:rsid w:val="004929FE"/>
    <w:rsid w:val="00531C23"/>
    <w:rsid w:val="00715BD3"/>
    <w:rsid w:val="008A7E07"/>
    <w:rsid w:val="00A149CA"/>
    <w:rsid w:val="00AA1D8D"/>
    <w:rsid w:val="00AB1A21"/>
    <w:rsid w:val="00B47730"/>
    <w:rsid w:val="00BA76ED"/>
    <w:rsid w:val="00BD73A3"/>
    <w:rsid w:val="00C229CC"/>
    <w:rsid w:val="00C50D94"/>
    <w:rsid w:val="00C632EB"/>
    <w:rsid w:val="00C714F5"/>
    <w:rsid w:val="00CB0664"/>
    <w:rsid w:val="00D8591C"/>
    <w:rsid w:val="00DA20BF"/>
    <w:rsid w:val="00DF1EC0"/>
    <w:rsid w:val="00FC15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901DC"/>
  <w14:defaultImageDpi w14:val="300"/>
  <w15:docId w15:val="{7D8643F9-27FE-FA42-8D4C-E70F0E48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object">
    <w:name w:val="object"/>
    <w:basedOn w:val="Policepardfaut"/>
    <w:rsid w:val="00BA76ED"/>
  </w:style>
  <w:style w:type="character" w:styleId="Lienhypertexte">
    <w:name w:val="Hyperlink"/>
    <w:basedOn w:val="Policepardfaut"/>
    <w:uiPriority w:val="99"/>
    <w:semiHidden/>
    <w:unhideWhenUsed/>
    <w:rsid w:val="00BA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nsibilisation-handicaps.dvu@uc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Marie PHALENTE</cp:lastModifiedBy>
  <cp:revision>2</cp:revision>
  <dcterms:created xsi:type="dcterms:W3CDTF">2025-04-18T15:12:00Z</dcterms:created>
  <dcterms:modified xsi:type="dcterms:W3CDTF">2025-04-18T15:12:00Z</dcterms:modified>
  <cp:category/>
</cp:coreProperties>
</file>